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4025.0" w:type="dxa"/>
        <w:jc w:val="left"/>
        <w:tblInd w:w="-645.0" w:type="dxa"/>
        <w:tblLayout w:type="fixed"/>
        <w:tblLook w:val="0400"/>
      </w:tblPr>
      <w:tblGrid>
        <w:gridCol w:w="5670"/>
        <w:gridCol w:w="4110"/>
        <w:gridCol w:w="4245"/>
        <w:tblGridChange w:id="0">
          <w:tblGrid>
            <w:gridCol w:w="5670"/>
            <w:gridCol w:w="4110"/>
            <w:gridCol w:w="4245"/>
          </w:tblGrid>
        </w:tblGridChange>
      </w:tblGrid>
      <w:tr>
        <w:trPr>
          <w:cantSplit w:val="0"/>
          <w:trHeight w:val="653.61328125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3009900" cy="1714500"/>
                  <wp:effectExtent b="0" l="0" r="0" t="0"/>
                  <wp:docPr id="33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71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 </w:t>
            </w:r>
          </w:p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Participación Social</w:t>
            </w:r>
          </w:p>
        </w:tc>
      </w:tr>
      <w:tr>
        <w:trPr>
          <w:cantSplit w:val="0"/>
          <w:trHeight w:val="662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9">
            <w:pPr>
              <w:spacing w:after="0" w:lineRule="auto"/>
              <w:ind w:lef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Secretaría General de Gobierno</w:t>
            </w:r>
          </w:p>
        </w:tc>
      </w:tr>
      <w:tr>
        <w:trPr>
          <w:cantSplit w:val="0"/>
          <w:trHeight w:val="677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Rule="auto"/>
              <w:ind w:lef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Dirección General del Desarrollo Político</w:t>
            </w:r>
          </w:p>
        </w:tc>
      </w:tr>
      <w:tr>
        <w:trPr>
          <w:cantSplit w:val="0"/>
          <w:trHeight w:val="642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1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b w:val="1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b w:val="1"/>
                  <w:color w:val="1155cc"/>
                  <w:highlight w:val="white"/>
                  <w:u w:val="single"/>
                  <w:rtl w:val="0"/>
                </w:rPr>
                <w:t xml:space="preserve">https://dgdp.edomex.gob.mx/node/216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highlight w:val="white"/>
                <w:rtl w:val="0"/>
              </w:rPr>
              <w:t xml:space="preserve"> 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Práctica reconocida en el año 2024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905.0" w:type="dxa"/>
        <w:jc w:val="left"/>
        <w:tblInd w:w="-572.0" w:type="dxa"/>
        <w:tblLayout w:type="fixed"/>
        <w:tblLook w:val="0400"/>
      </w:tblPr>
      <w:tblGrid>
        <w:gridCol w:w="6870"/>
        <w:gridCol w:w="7035"/>
        <w:tblGridChange w:id="0">
          <w:tblGrid>
            <w:gridCol w:w="6870"/>
            <w:gridCol w:w="7035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 un sitio web que pone a disposición de la ciudadanía información de las principales acciones que se realizan para contribuir a fortalecer al sector social, comparte un directorio y una plataforma de diagnóstico organizacional de las Organizaciones de la sociedad civil, gobierno y sociedad, acciones estratégicas con causa y sustentabilidad, de forma organizada, actualizada y de fácil acceso con la finalidad de contribuir en las acciones y políticas públicas que fortalezcan el tejido social. Promueve la participación ciudadana mediante una encuesta de satisfacción de la información, contiene información en formato de datos abiertos CSV. </w:t>
            </w:r>
          </w:p>
        </w:tc>
      </w:tr>
      <w:tr>
        <w:trPr>
          <w:cantSplit w:val="0"/>
          <w:trHeight w:val="1220.72375488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21">
            <w:pPr>
              <w:spacing w:after="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Dar a conocer a la sociedad mexiquense la importancia del vínculo que debe existir entre el Gobierno  y la sociedad, la importancia de su formalización legal, publicaciones en temas relacionados con la cultura político – democrática en la entidad, y la importancia de la sustentabilidad de las organizaciones civiles.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23">
            <w:pPr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Con la finalidad de acercar información a la ciudadanía, que tenga interés en conocer datos sobre la participación social en el Estado de México.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Innovación: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El sujeto Obligado no presenta innovaciones solo actualizaciones.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5">
            <w:pPr>
              <w:spacing w:after="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la participación ciudadana, los efectos positivos y los medios alternos de difusión de la información. Sin embargo no presenta innovación para este año, por lo que no podrá entregarsele la Constancia a la Continuidad de prácticas de transparencia proactiva 2025.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spacing w:after="0" w:line="240" w:lineRule="auto"/>
        <w:ind w:left="-708" w:firstLine="0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lpjctx4mt6yo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2"/>
      <w:bookmarkEnd w:id="2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id w:val="-31771315"/>
        <w:tag w:val="goog_rdk_0"/>
      </w:sdtPr>
      <w:sdtContent>
        <w:tbl>
          <w:tblPr>
            <w:tblStyle w:val="Table3"/>
            <w:tblW w:w="14280.0" w:type="dxa"/>
            <w:jc w:val="left"/>
            <w:tblInd w:w="-76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935"/>
            <w:gridCol w:w="1275"/>
            <w:gridCol w:w="2565"/>
            <w:gridCol w:w="5505"/>
            <w:tblGridChange w:id="0">
              <w:tblGrid>
                <w:gridCol w:w="4935"/>
                <w:gridCol w:w="1275"/>
                <w:gridCol w:w="2565"/>
                <w:gridCol w:w="5505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3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3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3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Cualquier persona puede consultarlo y se encuentra alojado en la página oficial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810702" cy="1440332"/>
                      <wp:effectExtent b="0" l="0" r="0" t="0"/>
                      <wp:docPr id="339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10702" cy="144033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3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es vigente y se ha difundido de manera reciente.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39520" cy="746481"/>
                      <wp:effectExtent b="0" l="0" r="0" t="0"/>
                      <wp:docPr id="338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39520" cy="74648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4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contenida en el sitio web se presenta en un lenguaje sencillo y fácil de entender.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14391" cy="1503160"/>
                      <wp:effectExtent b="0" l="0" r="0" t="0"/>
                      <wp:docPr id="341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14391" cy="15031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Ayuda a la toma de decisiones de las personas usuarias.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905125" cy="2209800"/>
                      <wp:effectExtent b="0" l="0" r="0" t="0"/>
                      <wp:docPr id="340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05125" cy="2209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</w:p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encuentra basado en fuentes oficiales de otros Sujetos Obligados.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14700" cy="1905000"/>
                      <wp:effectExtent b="0" l="0" r="0" t="0"/>
                      <wp:docPr id="34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14700" cy="1905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5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contenido está relacionado con otras fuentes  primarias de información.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5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constatar la información compartida con otras fuentes.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Proporciona información y datos del quehacer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69983" cy="696277"/>
                      <wp:effectExtent b="0" l="0" r="0" t="0"/>
                      <wp:docPr id="342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69983" cy="69627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Proporciona información de fechas recientes.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14700" cy="1854200"/>
                      <wp:effectExtent b="0" l="0" r="0" t="0"/>
                      <wp:docPr id="345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14700" cy="1854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listado de Asociaciones civiles en formato CSV.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14700" cy="1371600"/>
                      <wp:effectExtent b="0" l="0" r="0" t="0"/>
                      <wp:docPr id="344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14700" cy="1371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contador de visitas.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C">
                <w:pPr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506028" cy="2131564"/>
                      <wp:effectExtent b="0" l="0" r="0" t="0"/>
                      <wp:docPr id="348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06028" cy="213156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D">
                <w:pPr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7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0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Conocer el alcance de su información.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417203" cy="1070331"/>
                      <wp:effectExtent b="0" l="0" r="0" t="0"/>
                      <wp:docPr id="346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17203" cy="107033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  <w:p w:rsidR="00000000" w:rsidDel="00000000" w:rsidP="00000000" w:rsidRDefault="00000000" w:rsidRPr="00000000" w14:paraId="0000008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2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encuesta de satisfacción de la información.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1">
                <w:pPr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295650" cy="1219200"/>
                      <wp:effectExtent b="0" l="0" r="0" t="0"/>
                      <wp:docPr id="347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95650" cy="1219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23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Implementación de mejoras en la práctica.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14700" cy="1282700"/>
                      <wp:effectExtent b="0" l="0" r="0" t="0"/>
                      <wp:docPr id="349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14700" cy="128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D">
                <w:pPr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Una sociedad mejor informada.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52775" cy="1326520"/>
                      <wp:effectExtent b="0" l="0" r="0" t="0"/>
                      <wp:docPr id="350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21"/>
                              <a:srcRect b="12410" l="0" r="4999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52775" cy="13265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Redes Sociales.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7">
                <w:pPr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0" distT="0" distL="0" distR="0">
                      <wp:extent cx="2703380" cy="1980925"/>
                      <wp:effectExtent b="0" l="0" r="0" t="0"/>
                      <wp:docPr descr="Interfaz de usuario gráfica, Texto&#10;&#10;Descripción generada automáticamente" id="351" name="image16.png"/>
                      <a:graphic>
                        <a:graphicData uri="http://schemas.openxmlformats.org/drawingml/2006/picture">
                          <pic:pic>
                            <pic:nvPicPr>
                              <pic:cNvPr descr="Interfaz de usuario gráfica, Texto&#10;&#10;Descripción generada automáticamente" id="0" name="image16.png"/>
                              <pic:cNvPicPr preferRelativeResize="0"/>
                            </pic:nvPicPr>
                            <pic:blipFill>
                              <a:blip r:embed="rId22"/>
                              <a:srcRect b="8462" l="32998" r="37220" t="3355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03380" cy="1980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A8">
      <w:pPr>
        <w:spacing w:after="240" w:line="276" w:lineRule="auto"/>
        <w:ind w:left="-708" w:firstLine="0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uye03zr0ncmu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dlo74sp95noi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C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rFonts w:ascii="Palatino Linotype" w:cs="Palatino Linotype" w:eastAsia="Palatino Linotype" w:hAnsi="Palatino Linotyp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>
        <w:rFonts w:ascii="Palatino Linotype" w:cs="Palatino Linotype" w:eastAsia="Palatino Linotype" w:hAnsi="Palatino Linotype"/>
      </w:rPr>
    </w:pPr>
    <w:r w:rsidDel="00000000" w:rsidR="00000000" w:rsidRPr="00000000">
      <w:rPr>
        <w:rFonts w:ascii="Palatino Linotype" w:cs="Palatino Linotype" w:eastAsia="Palatino Linotype" w:hAnsi="Palatino Linotyp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52" name="image3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3.png"/>
                  <pic:cNvPicPr preferRelativeResize="0"/>
                </pic:nvPicPr>
                <pic:blipFill>
                  <a:blip r:embed="rId1"/>
                  <a:srcRect b="25357" l="27473" r="25000" t="5794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-1094419</wp:posOffset>
          </wp:positionH>
          <wp:positionV relativeFrom="paragraph">
            <wp:posOffset>-85722</wp:posOffset>
          </wp:positionV>
          <wp:extent cx="10057448" cy="7677150"/>
          <wp:effectExtent b="0" l="0" r="0" t="0"/>
          <wp:wrapNone/>
          <wp:docPr descr="Imagen que contiene Gráfico de superficie&#10;&#10;Descripción generada automáticamente" id="353" name="image1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57448" cy="76771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png"/><Relationship Id="rId11" Type="http://schemas.openxmlformats.org/officeDocument/2006/relationships/image" Target="media/image7.png"/><Relationship Id="rId22" Type="http://schemas.openxmlformats.org/officeDocument/2006/relationships/image" Target="media/image16.png"/><Relationship Id="rId10" Type="http://schemas.openxmlformats.org/officeDocument/2006/relationships/image" Target="media/image13.png"/><Relationship Id="rId21" Type="http://schemas.openxmlformats.org/officeDocument/2006/relationships/image" Target="media/image10.png"/><Relationship Id="rId13" Type="http://schemas.openxmlformats.org/officeDocument/2006/relationships/image" Target="media/image5.png"/><Relationship Id="rId24" Type="http://schemas.openxmlformats.org/officeDocument/2006/relationships/footer" Target="footer1.xml"/><Relationship Id="rId12" Type="http://schemas.openxmlformats.org/officeDocument/2006/relationships/image" Target="media/image2.pn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6.png"/><Relationship Id="rId17" Type="http://schemas.openxmlformats.org/officeDocument/2006/relationships/image" Target="media/image14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customXml" Target="../customXML/item1.xml"/><Relationship Id="rId18" Type="http://schemas.openxmlformats.org/officeDocument/2006/relationships/image" Target="media/image15.png"/><Relationship Id="rId7" Type="http://schemas.openxmlformats.org/officeDocument/2006/relationships/image" Target="media/image4.png"/><Relationship Id="rId8" Type="http://schemas.openxmlformats.org/officeDocument/2006/relationships/hyperlink" Target="https://dgdp.edomex.gob.mx/node/216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Z/5pB70bhFMKR+hisjAaYLpqUw==">CgMxLjAaHwoBMBIaChgICVIUChJ0YWJsZS50eWhrZXNmM3gybWQyCWguMzBqMHpsbDIOaC5scGpjdHg0bXQ2eW8yDmgueTJmZG5ib2Z0aDI5Mg5oLnV5ZTAzenIwbmNtdTIOaC5kbG83NHNwOTVub2k4AHIhMUlMTlh5NWYtZFdQWC1mZjlpZi04a2VyVjJjUExuUTAz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